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D45B03" w14:textId="77777777" w:rsidR="00F51FE6" w:rsidRDefault="00F51FE6" w:rsidP="00F51FE6">
      <w:pPr>
        <w:rPr>
          <w:rFonts w:ascii="inherit" w:eastAsia="Times New Roman" w:hAnsi="inherit" w:cs="Calibri"/>
          <w:color w:val="000000"/>
          <w:sz w:val="24"/>
          <w:szCs w:val="24"/>
          <w:u w:val="single"/>
          <w:bdr w:val="none" w:sz="0" w:space="0" w:color="auto" w:frame="1"/>
        </w:rPr>
      </w:pPr>
      <w:r>
        <w:rPr>
          <w:rFonts w:ascii="inherit" w:eastAsia="Times New Roman" w:hAnsi="inherit" w:cs="Calibri"/>
          <w:color w:val="000000"/>
          <w:sz w:val="24"/>
          <w:szCs w:val="24"/>
          <w:u w:val="single"/>
          <w:bdr w:val="none" w:sz="0" w:space="0" w:color="auto" w:frame="1"/>
        </w:rPr>
        <w:t>Course Material Examples</w:t>
      </w:r>
      <w:r>
        <w:rPr>
          <w:rFonts w:ascii="inherit" w:eastAsia="Times New Roman" w:hAnsi="inherit" w:cs="Calibri"/>
          <w:color w:val="000000"/>
          <w:sz w:val="24"/>
          <w:szCs w:val="24"/>
          <w:u w:val="single"/>
          <w:bdr w:val="none" w:sz="0" w:space="0" w:color="auto" w:frame="1"/>
        </w:rPr>
        <w:br/>
      </w:r>
    </w:p>
    <w:p w14:paraId="16B45ABC" w14:textId="77777777" w:rsidR="00F51FE6" w:rsidRDefault="00F51FE6" w:rsidP="00F51FE6">
      <w:pPr>
        <w:rPr>
          <w:rFonts w:ascii="inherit" w:eastAsia="Times New Roman" w:hAnsi="inherit" w:cs="Calibri"/>
          <w:color w:val="000000"/>
          <w:sz w:val="24"/>
          <w:szCs w:val="24"/>
          <w:bdr w:val="none" w:sz="0" w:space="0" w:color="auto" w:frame="1"/>
        </w:rPr>
      </w:pPr>
      <w:r>
        <w:rPr>
          <w:rFonts w:ascii="inherit" w:eastAsia="Times New Roman" w:hAnsi="inherit" w:cs="Calibri"/>
          <w:color w:val="000000"/>
          <w:sz w:val="24"/>
          <w:szCs w:val="24"/>
          <w:bdr w:val="none" w:sz="0" w:space="0" w:color="auto" w:frame="1"/>
        </w:rPr>
        <w:t xml:space="preserve">In all my online classes, I focus on ways to use the opportunities afforded by online teaching modalities to make the classes collaborative in radical ways, and to create opportunities that would be impossible in a purely face-to-face class. One class I am quite proud of in this regard is my online, asynchronous </w:t>
      </w:r>
      <w:r w:rsidRPr="007513C8">
        <w:rPr>
          <w:rFonts w:ascii="inherit" w:eastAsia="Times New Roman" w:hAnsi="inherit" w:cs="Calibri"/>
          <w:b/>
          <w:bCs/>
          <w:color w:val="000000"/>
          <w:sz w:val="24"/>
          <w:szCs w:val="24"/>
          <w:bdr w:val="none" w:sz="0" w:space="0" w:color="auto" w:frame="1"/>
        </w:rPr>
        <w:t>Philosophy 2326</w:t>
      </w:r>
      <w:r>
        <w:rPr>
          <w:rFonts w:ascii="inherit" w:eastAsia="Times New Roman" w:hAnsi="inherit" w:cs="Calibri"/>
          <w:color w:val="000000"/>
          <w:sz w:val="24"/>
          <w:szCs w:val="24"/>
          <w:bdr w:val="none" w:sz="0" w:space="0" w:color="auto" w:frame="1"/>
        </w:rPr>
        <w:t xml:space="preserve">, which is QM certified and is used as a “blueprint” course for new hires to use as much of as they wish. </w:t>
      </w:r>
    </w:p>
    <w:p w14:paraId="20098D34" w14:textId="77777777" w:rsidR="00F51FE6" w:rsidRPr="00AF3398" w:rsidRDefault="00F51FE6" w:rsidP="00F51FE6">
      <w:pPr>
        <w:rPr>
          <w:rFonts w:ascii="inherit" w:eastAsia="Times New Roman" w:hAnsi="inherit" w:cs="Calibri"/>
          <w:color w:val="000000"/>
          <w:sz w:val="24"/>
          <w:szCs w:val="24"/>
          <w:bdr w:val="none" w:sz="0" w:space="0" w:color="auto" w:frame="1"/>
        </w:rPr>
      </w:pPr>
      <w:r>
        <w:rPr>
          <w:rFonts w:ascii="inherit" w:eastAsia="Times New Roman" w:hAnsi="inherit" w:cs="Calibri"/>
          <w:color w:val="000000"/>
          <w:sz w:val="24"/>
          <w:szCs w:val="24"/>
          <w:bdr w:val="none" w:sz="0" w:space="0" w:color="auto" w:frame="1"/>
        </w:rPr>
        <w:t>Because 2326 has already been evaluated, it is possible the committee is already aware of it. You are certainly welcome to look at the QM evaluation and certification, which I can provide if you don’t have access. On the other hand, since the instructions mention that a class will be assessed for QM compliance you may need to re-assess it, in which case let me know if you need anything from me in that regard. Given that either way you will be taking a careful look at that course, I would like to use this section of the application to also highlight some innovative work I have developed in some other online classes. Below are three examples of this in practice. If you have any questions about these or would like more information, please do not hesitate to ask.</w:t>
      </w:r>
    </w:p>
    <w:p w14:paraId="297AD27E" w14:textId="77777777" w:rsidR="00F51FE6" w:rsidRPr="00D64736" w:rsidRDefault="00F51FE6" w:rsidP="00F51FE6">
      <w:pPr>
        <w:rPr>
          <w:b/>
          <w:bCs/>
        </w:rPr>
      </w:pPr>
      <w:r w:rsidRPr="00D64736">
        <w:rPr>
          <w:b/>
          <w:bCs/>
        </w:rPr>
        <w:t>1. Building a class around a (virtual) academic workshop</w:t>
      </w:r>
      <w:r>
        <w:rPr>
          <w:b/>
          <w:bCs/>
        </w:rPr>
        <w:t xml:space="preserve"> and collaborating with international scholars</w:t>
      </w:r>
    </w:p>
    <w:p w14:paraId="67E9F401" w14:textId="77777777" w:rsidR="00F51FE6" w:rsidRDefault="00F51FE6" w:rsidP="00F51FE6">
      <w:pPr>
        <w:ind w:firstLine="360"/>
      </w:pPr>
      <w:r>
        <w:t xml:space="preserve">This semester (Spring 2021), I created a class for Philosophy 4302: Special Topics. The special topic I created a class around this semester is “Digital Worlds,” in which the class turns a critical eye on emerging virtual reality and mixed reality technologies. To help make this senior-level philosophy class special, and incorporate possibilities afforded by online modalities, I also co-organized with Dr. Michael Butler an academic workshop on the same topic, with the idea of incorporating students into the workshop, and materials from the workshop into the course. We were pleasantly surprised to receive many excellent papers from scholars all over the world, and we created a virtual event which would have been prohibitively expensive many of the attendees if it had been in person. It also allowed my students to observe without feeling as nervous as they might in an in-person workshop with academics. They could participate and be as noticeable as they wanted, or “lurk” and observe with cameras off safely. </w:t>
      </w:r>
    </w:p>
    <w:p w14:paraId="1542A81A" w14:textId="77777777" w:rsidR="00F51FE6" w:rsidRDefault="00F51FE6" w:rsidP="00F51FE6">
      <w:pPr>
        <w:ind w:firstLine="360"/>
      </w:pPr>
      <w:r>
        <w:t xml:space="preserve">The first half of the semester was spent giving students the necessary tools to understand the work the workshop participants were doing, and then the students spent (and are spending) the latter half the semester reading papers submitted for the conference. This gives them the ability to see philosophy that is currently being worked on by contemporary philosophers, rather than only ancient texts as can happen in some philosophy classes. Students were also able to attend the virtual conference itself, and hear philosophers discuss and debate the issues they’d been </w:t>
      </w:r>
      <w:proofErr w:type="gramStart"/>
      <w:r>
        <w:t>reading, and</w:t>
      </w:r>
      <w:proofErr w:type="gramEnd"/>
      <w:r>
        <w:t xml:space="preserve"> participate as equals in that discussion themselves. Finally, I am using this as an opportunity for collaboration between the students and the guest scholars. The scholars are invited to introduce their material to my students either by writing a short paragraph or being interviewed by me for a short video. Then with the students’ permission I shared some of their feedback on the papers and let the philosophers respond, </w:t>
      </w:r>
      <w:proofErr w:type="gramStart"/>
      <w:r>
        <w:t>opening up</w:t>
      </w:r>
      <w:proofErr w:type="gramEnd"/>
      <w:r>
        <w:t xml:space="preserve"> a collaborative conversation that was beneficial to the students, particularly those considering graduate school. </w:t>
      </w:r>
    </w:p>
    <w:p w14:paraId="3937A9D7" w14:textId="77777777" w:rsidR="00F51FE6" w:rsidRDefault="00F51FE6" w:rsidP="00F51FE6">
      <w:pPr>
        <w:ind w:firstLine="360"/>
      </w:pPr>
      <w:r>
        <w:lastRenderedPageBreak/>
        <w:t xml:space="preserve">Understanding contemporary philosophy papers can be difficult, and so all the readings for the course were studied with </w:t>
      </w:r>
      <w:proofErr w:type="spellStart"/>
      <w:r>
        <w:t>Perusall</w:t>
      </w:r>
      <w:proofErr w:type="spellEnd"/>
      <w:r>
        <w:t xml:space="preserve">, an app for collaborative annotation of texts. (In fact, the reason why </w:t>
      </w:r>
      <w:proofErr w:type="spellStart"/>
      <w:r>
        <w:t>Perusall</w:t>
      </w:r>
      <w:proofErr w:type="spellEnd"/>
      <w:r>
        <w:t xml:space="preserve"> can be integrated with UTRGV’s Blackboard courses is because I contacted both </w:t>
      </w:r>
      <w:proofErr w:type="spellStart"/>
      <w:r>
        <w:t>Perusall</w:t>
      </w:r>
      <w:proofErr w:type="spellEnd"/>
      <w:r>
        <w:t xml:space="preserve"> and COLTT and requested they integrate our LMS gradebook with </w:t>
      </w:r>
      <w:proofErr w:type="spellStart"/>
      <w:r>
        <w:t>Perusall’s</w:t>
      </w:r>
      <w:proofErr w:type="spellEnd"/>
      <w:r>
        <w:t xml:space="preserve"> grades. I also gave a talk to faculty through the Center for Teaching Excellence on the use of collaborative annotation software. Since </w:t>
      </w:r>
      <w:proofErr w:type="gramStart"/>
      <w:r>
        <w:t>then</w:t>
      </w:r>
      <w:proofErr w:type="gramEnd"/>
      <w:r>
        <w:t xml:space="preserve"> many other professors have begun using this in their classes.) Using </w:t>
      </w:r>
      <w:proofErr w:type="spellStart"/>
      <w:r>
        <w:t>Perusall</w:t>
      </w:r>
      <w:proofErr w:type="spellEnd"/>
      <w:r>
        <w:t xml:space="preserve"> allows students to provide peer collaboration and help one-another both with understanding the text and helping connect it to their lives in ways that make the material more vivid and memorable. I also monitor and weigh in on those conversations </w:t>
      </w:r>
      <w:proofErr w:type="gramStart"/>
      <w:r>
        <w:t>in order to</w:t>
      </w:r>
      <w:proofErr w:type="gramEnd"/>
      <w:r>
        <w:t xml:space="preserve"> facilitate them into productive directions, and record videos introducing the material to send the students off in good directions (these videos are of course always subtitled. Using subtitles, alternative text for images, and other tools of universal design make the course more accessible, but also help all students take notes and remember the material). However, this is truly facilitation rather than didactic correction; in my experience the collaborative annotation usually is quite self-regulating as good interpretations of the text emerge out of their collective work.</w:t>
      </w:r>
    </w:p>
    <w:p w14:paraId="277B6005" w14:textId="77777777" w:rsidR="00F51FE6" w:rsidRDefault="00F51FE6" w:rsidP="00F51FE6">
      <w:pPr>
        <w:ind w:firstLine="360"/>
      </w:pPr>
      <w:r>
        <w:t xml:space="preserve">All this can be looked at on the blackboard site for the course, the </w:t>
      </w:r>
      <w:proofErr w:type="spellStart"/>
      <w:r>
        <w:t>Perusall</w:t>
      </w:r>
      <w:proofErr w:type="spellEnd"/>
      <w:r>
        <w:t xml:space="preserve"> site (accessible via blackboard by clicking on any of the readings), and information about the conference here: </w:t>
      </w:r>
      <w:hyperlink r:id="rId5" w:history="1">
        <w:r w:rsidRPr="005379B6">
          <w:rPr>
            <w:rStyle w:val="Hyperlink"/>
          </w:rPr>
          <w:t>https://digitalworldsworkshop.wordpress.com/digital-worlds-workshop-2021/</w:t>
        </w:r>
      </w:hyperlink>
      <w:r>
        <w:t xml:space="preserve"> </w:t>
      </w:r>
    </w:p>
    <w:p w14:paraId="431F5B29" w14:textId="77777777" w:rsidR="00F51FE6" w:rsidRPr="00D64736" w:rsidRDefault="00F51FE6" w:rsidP="00F51FE6">
      <w:pPr>
        <w:rPr>
          <w:b/>
          <w:bCs/>
        </w:rPr>
      </w:pPr>
      <w:r w:rsidRPr="00D64736">
        <w:rPr>
          <w:b/>
          <w:bCs/>
        </w:rPr>
        <w:t>2. Creating a podcast for a course and collaborating on cooking videos</w:t>
      </w:r>
    </w:p>
    <w:p w14:paraId="24F90857" w14:textId="77777777" w:rsidR="00F51FE6" w:rsidRDefault="00F51FE6" w:rsidP="00F51FE6">
      <w:pPr>
        <w:ind w:firstLine="720"/>
      </w:pPr>
      <w:r>
        <w:t xml:space="preserve">In Fall 2020, I created an online version of the class Philosophy 4318: Philosophy of food. Normally this is a very hands-on class, with students bringing dishes into class to share, site visits, etc. Rather than just eliminate these aspects of the class, as in the previous example I looked for ways to use the digital tools available to me as a course designer to make the class collaborative and bring in voices and opportunities unique to this medium. The first thing I did was work with our Open Educational Resources librarians on campus to get free OER books for the course (I had worked with them previously and received an award from the OER library for my work in making a common course open). The price of textbooks and other course materials is a serious but often overlooked component of making a class more accessible to a wider range of students, and it’s easier to make a course fully open with electronic resources than physical ones. Next, I reached out to scholars in the field of philosophy of food whose books and articles we were reading and began conducting long-form interviews with them about those themes. I took these interviews and created a podcast so that students could listen to these discussions as background and supplement to the reading and could do so in a format that many of them were very familiar with. Because it is a podcast, students can also use any podcasting app to listen to them from their phones or other devices while working or moving around, rather than being trapped to the course’s blackboard site. To take the place of bringing meals in, I had the students create short video presentations about a food that was meaningful to them, including a recipe for other students to try at their home, and I made the first video to collaborate with them and kick things off. This was far more successful than I had anticipated, with students getting into long conversations with each other about the food in comments, reporting back when they had tried recipes on their own, and using it as a reference when discussing the readings. One student even began a </w:t>
      </w:r>
      <w:proofErr w:type="spellStart"/>
      <w:r>
        <w:t>youtube</w:t>
      </w:r>
      <w:proofErr w:type="spellEnd"/>
      <w:r>
        <w:t xml:space="preserve"> channel about cooking based on her experience creating a video for class, which she has continued.</w:t>
      </w:r>
    </w:p>
    <w:p w14:paraId="00C1C049" w14:textId="77777777" w:rsidR="00F51FE6" w:rsidRDefault="00F51FE6" w:rsidP="00F51FE6">
      <w:pPr>
        <w:ind w:firstLine="720"/>
      </w:pPr>
      <w:r>
        <w:t xml:space="preserve">All this can be looked at by the committee on the Blackboard site for the course, the books OER purchased licenses for which are available through UTRGV’s library (click any reading link on the course’s </w:t>
      </w:r>
      <w:r>
        <w:lastRenderedPageBreak/>
        <w:t xml:space="preserve">Blackboard site), and the podcast that can also be heard wherever you get podcasts under the name Thought About Food, or at the podcast’s site: </w:t>
      </w:r>
      <w:hyperlink r:id="rId6" w:history="1">
        <w:r w:rsidRPr="005379B6">
          <w:rPr>
            <w:rStyle w:val="Hyperlink"/>
          </w:rPr>
          <w:t>https://thoughtaboutfood.podbean.com/</w:t>
        </w:r>
      </w:hyperlink>
      <w:r>
        <w:t xml:space="preserve"> . The podcast has been so successful that I’ve continued it after the course, so when I teach this again in Fall </w:t>
      </w:r>
      <w:proofErr w:type="gramStart"/>
      <w:r>
        <w:t>2021</w:t>
      </w:r>
      <w:proofErr w:type="gramEnd"/>
      <w:r>
        <w:t xml:space="preserve"> I will have a wider range of talks to choose from for each module.</w:t>
      </w:r>
    </w:p>
    <w:p w14:paraId="23FA595C" w14:textId="77777777" w:rsidR="00F51FE6" w:rsidRPr="00D64736" w:rsidRDefault="00F51FE6" w:rsidP="00F51FE6">
      <w:pPr>
        <w:rPr>
          <w:b/>
          <w:bCs/>
        </w:rPr>
      </w:pPr>
      <w:r w:rsidRPr="00D64736">
        <w:rPr>
          <w:b/>
          <w:bCs/>
        </w:rPr>
        <w:t xml:space="preserve">3. A course </w:t>
      </w:r>
      <w:r>
        <w:rPr>
          <w:b/>
          <w:bCs/>
        </w:rPr>
        <w:t>creating a supportive community for students to help each other through the pandemic</w:t>
      </w:r>
    </w:p>
    <w:p w14:paraId="5642D1AC" w14:textId="77777777" w:rsidR="00F51FE6" w:rsidRDefault="00F51FE6" w:rsidP="00F51FE6">
      <w:pPr>
        <w:ind w:firstLine="720"/>
      </w:pPr>
      <w:r>
        <w:t xml:space="preserve">In Summer 2020 I created a new online version of the course Philosophy 1310: Ethics, Happiness, and the Good Life and taught two sections of it. I felt that a course with that title, in the middle of a pandemic and lockdown, had to address the ways in which we were all feeling, and so I focused the course </w:t>
      </w:r>
      <w:proofErr w:type="gramStart"/>
      <w:r>
        <w:t>around</w:t>
      </w:r>
      <w:proofErr w:type="gramEnd"/>
      <w:r>
        <w:t xml:space="preserve"> the important philosophical concept of alienation. As in the previous two examples, I used only free readings, and used </w:t>
      </w:r>
      <w:proofErr w:type="spellStart"/>
      <w:r>
        <w:t>Persuall</w:t>
      </w:r>
      <w:proofErr w:type="spellEnd"/>
      <w:r>
        <w:t xml:space="preserve"> so that we as a class could engage in collaborative annotation. The new tool in this class was using the blog features available in Blackboard to have students share and support each other as they each worked on some measurable goal that they thought might improve their lives. This was good praxis for the course, because research which we could discuss shows that making progress on concrete goals can reduce feelings of anxiety, depression, and alienation, and it also allowed students to examine if these general findings felt true for them, how they dealt with setbacks, etc. I also chose a project and posted on it honestly, including when I fell behind my self-imposed goals. I felt it was important that I collaborate with them by sharing my own project for several reasons. It modeled the kind of work I was looking for which is important in an unusual assignment, it helped make the class more collaborative on problems, and it showed the important lesson (relevant to the subject of the class) that pursuing the philosophical ethical good life is a lifelong process.</w:t>
      </w:r>
    </w:p>
    <w:p w14:paraId="5C72A21D" w14:textId="77777777" w:rsidR="00F51FE6" w:rsidRDefault="00F51FE6" w:rsidP="00F51FE6">
      <w:pPr>
        <w:ind w:firstLine="720"/>
      </w:pPr>
      <w:r>
        <w:t>I was very heartened by the response to this project. Students were enthusiastic and encouraging with each other about their projects, and the blog also became a place to talk openly about their worries and hopes about the pandemic. Students were also required to reflect on the project at the end, and I was overwhelmed by how much students enjoyed it and said they got out of it. It was also heartening to see it help them connect the more theoretical parts of the course like the readings, the discussions of the readings, and the subtitled instructional videos. Connecting material from a course to one’s own life outside the classroom helps students enjoy the course more, remember it longer, and integrate it with other things they know.</w:t>
      </w:r>
    </w:p>
    <w:p w14:paraId="34C226FA" w14:textId="77777777" w:rsidR="00F51FE6" w:rsidRDefault="00F51FE6" w:rsidP="00F51FE6">
      <w:r>
        <w:tab/>
        <w:t>The blog posts and discussions, as well as many interesting multimedia items shared by students working on art, music, etc. is still available at the course’s Blackboard site.</w:t>
      </w:r>
    </w:p>
    <w:p w14:paraId="175E02A4" w14:textId="77777777" w:rsidR="00F51FE6" w:rsidRDefault="00F51FE6" w:rsidP="00F51FE6">
      <w:r>
        <w:br w:type="page"/>
      </w:r>
    </w:p>
    <w:p w14:paraId="0C97FB70" w14:textId="77777777" w:rsidR="00F51FE6" w:rsidRPr="00B66358" w:rsidRDefault="00F51FE6" w:rsidP="00F51FE6">
      <w:pPr>
        <w:rPr>
          <w:sz w:val="24"/>
          <w:szCs w:val="24"/>
          <w:u w:val="single"/>
        </w:rPr>
      </w:pPr>
      <w:r w:rsidRPr="00B66358">
        <w:rPr>
          <w:sz w:val="24"/>
          <w:szCs w:val="24"/>
          <w:u w:val="single"/>
        </w:rPr>
        <w:lastRenderedPageBreak/>
        <w:t>Learning Outcomes</w:t>
      </w:r>
    </w:p>
    <w:p w14:paraId="3D95B175" w14:textId="77777777" w:rsidR="00F51FE6" w:rsidRDefault="00F51FE6" w:rsidP="00F51FE6">
      <w:pPr>
        <w:pStyle w:val="ListParagraph"/>
        <w:numPr>
          <w:ilvl w:val="0"/>
          <w:numId w:val="1"/>
        </w:numPr>
      </w:pPr>
      <w:r>
        <w:t xml:space="preserve">One easily accessible metric in these classes is the use of OER materials. You can consult our excellent OER librarians for specific figures, but they inform me that many students do not purchase expensive texts and do not actually use them. With the digital materials in class, it is possible for me to track reading, and in the three classes mentioned 100% of students who completed the course (so not including students who sign up for the course but do not participate in it and drop in the first few weeks) read the material. </w:t>
      </w:r>
      <w:proofErr w:type="spellStart"/>
      <w:r>
        <w:t>Perusall</w:t>
      </w:r>
      <w:proofErr w:type="spellEnd"/>
      <w:r>
        <w:t xml:space="preserve"> lets me track which students watch videos, and the podcasting host I use lets me track who is listening to the podcast and where they are. Using these </w:t>
      </w:r>
      <w:proofErr w:type="gramStart"/>
      <w:r>
        <w:t>tools</w:t>
      </w:r>
      <w:proofErr w:type="gramEnd"/>
      <w:r>
        <w:t xml:space="preserve"> I was pleased to see that students are highly engaged with the non-text-based materials for the class, watching each module’s videos and listening to extra episodes of the podcast that were not assigned but only listed as optional.</w:t>
      </w:r>
    </w:p>
    <w:p w14:paraId="32C5B111" w14:textId="77777777" w:rsidR="00F51FE6" w:rsidRDefault="00F51FE6" w:rsidP="00F51FE6">
      <w:pPr>
        <w:pStyle w:val="ListParagraph"/>
        <w:numPr>
          <w:ilvl w:val="0"/>
          <w:numId w:val="1"/>
        </w:numPr>
      </w:pPr>
      <w:r>
        <w:t xml:space="preserve">Relatedly, </w:t>
      </w:r>
      <w:proofErr w:type="spellStart"/>
      <w:r>
        <w:t>Perusall</w:t>
      </w:r>
      <w:proofErr w:type="spellEnd"/>
      <w:r>
        <w:t xml:space="preserve"> lets me track participation, via comments made, time spent reading, number of times the text was read, if it was read all the way through, and so on. It also lets me go through and read the comments and grade them for relevance, helpfulness, etc. I use this as a stand-in for participation in a traditional F2F class. I am happy to report that the average quality and number of the posts went up in all three classes throughout the semester, as did time spent engaging with the text (overall, with some slight dips around midterms, perhaps understandably as students wrestle with demands of multiple classes). Looking at the discussion boards in the three classes, students also made extensive comments on one-another’s posts. Many students made more than the minimum both in terms of original post length and comments to other students. The average of these numbers also went up over the course of the semester, but even more interesting to me as I try to create collaborative spaces in my classes was the sharing of videos, links to other websites, art, and photos to the posts.</w:t>
      </w:r>
    </w:p>
    <w:p w14:paraId="6526B1AA" w14:textId="77777777" w:rsidR="00F51FE6" w:rsidRDefault="00F51FE6" w:rsidP="00F51FE6">
      <w:pPr>
        <w:pStyle w:val="ListParagraph"/>
        <w:numPr>
          <w:ilvl w:val="0"/>
          <w:numId w:val="1"/>
        </w:numPr>
      </w:pPr>
      <w:r>
        <w:t>My Student Evaluations of Teaching are quite high in my online classes, above the average for my department, and students speak quite highly of the classes in the comments. Further, my scores in online courses are equivalent to my in-person classes, including in areas where one might expect them to be lower (such as evaluating my availability to answer questions, my enthusiasm and engagement, etc.) While SETs have some problems as isolated metrics, in conjunction with other metrics and as a method of straight comparison they can still be helpful. (I assume the committee can view the SETs for the courses, but if not please let me know and I’d be happy to grant access or copy and paste the scores and comments.)</w:t>
      </w:r>
    </w:p>
    <w:p w14:paraId="187AB475" w14:textId="77777777" w:rsidR="00F51FE6" w:rsidRDefault="00F51FE6" w:rsidP="00F51FE6">
      <w:pPr>
        <w:pStyle w:val="ListParagraph"/>
        <w:numPr>
          <w:ilvl w:val="0"/>
          <w:numId w:val="1"/>
        </w:numPr>
      </w:pPr>
      <w:r>
        <w:t xml:space="preserve">Relatedly, the scores of the students on assignments including projects, quizzes, short responses, and particularly essays, as well as (therefore) grades in the overall courses are equivalent to their scores in my F2F classes. This is important, because it means that I have been able to translate the work I do with students to increase their writing and reading skills, particularly the </w:t>
      </w:r>
      <w:proofErr w:type="gramStart"/>
      <w:r>
        <w:t>particular skills</w:t>
      </w:r>
      <w:proofErr w:type="gramEnd"/>
      <w:r>
        <w:t xml:space="preserve"> of reading and writing philosophy texts, into an online format. I have done this by having students upload steps in the writing process to the discussion board so that they can get feedback both from me and from their classmates, and so that they can see good examples modeled by their classmates. For reading a similar process as they help each other </w:t>
      </w:r>
      <w:proofErr w:type="gramStart"/>
      <w:r>
        <w:t>through the use of</w:t>
      </w:r>
      <w:proofErr w:type="gramEnd"/>
      <w:r>
        <w:t xml:space="preserve"> collaborative annotations mentioned above.</w:t>
      </w:r>
    </w:p>
    <w:p w14:paraId="2E74D219" w14:textId="77777777" w:rsidR="00F51FE6" w:rsidRDefault="00F51FE6"/>
    <w:sectPr w:rsidR="00F51F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6439CF"/>
    <w:multiLevelType w:val="hybridMultilevel"/>
    <w:tmpl w:val="C77C72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FE6"/>
    <w:rsid w:val="00F51F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9824F"/>
  <w15:chartTrackingRefBased/>
  <w15:docId w15:val="{B3BE10D4-0CAD-4A3E-A11D-89F943601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1F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1FE6"/>
    <w:pPr>
      <w:ind w:left="720"/>
      <w:contextualSpacing/>
    </w:pPr>
  </w:style>
  <w:style w:type="character" w:styleId="Hyperlink">
    <w:name w:val="Hyperlink"/>
    <w:basedOn w:val="DefaultParagraphFont"/>
    <w:uiPriority w:val="99"/>
    <w:unhideWhenUsed/>
    <w:rsid w:val="00F51FE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houghtaboutfood.podbean.com/" TargetMode="External"/><Relationship Id="rId5" Type="http://schemas.openxmlformats.org/officeDocument/2006/relationships/hyperlink" Target="https://digitalworldsworkshop.wordpress.com/digital-worlds-workshop-202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2135</Words>
  <Characters>12173</Characters>
  <Application>Microsoft Office Word</Application>
  <DocSecurity>0</DocSecurity>
  <Lines>101</Lines>
  <Paragraphs>28</Paragraphs>
  <ScaleCrop>false</ScaleCrop>
  <Company/>
  <LinksUpToDate>false</LinksUpToDate>
  <CharactersWithSpaces>14280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Werkheiser</dc:creator>
  <cp:keywords/>
  <dc:description/>
  <cp:lastModifiedBy>Ian Werkheiser</cp:lastModifiedBy>
  <cp:revision>1</cp:revision>
  <dcterms:created xsi:type="dcterms:W3CDTF">2022-02-10T18:59:00Z</dcterms:created>
  <dcterms:modified xsi:type="dcterms:W3CDTF">2022-02-10T19:03:00Z</dcterms:modified>
</cp:coreProperties>
</file>